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04A8C" w:rsidRDefault="00641BD2">
      <w:pPr>
        <w:pStyle w:val="normal"/>
        <w:rPr>
          <w:b/>
          <w:sz w:val="40"/>
          <w:szCs w:val="40"/>
          <w:highlight w:val="white"/>
        </w:rPr>
      </w:pPr>
      <w:r>
        <w:rPr>
          <w:b/>
          <w:sz w:val="40"/>
          <w:szCs w:val="40"/>
          <w:highlight w:val="white"/>
        </w:rPr>
        <w:t>Hit és hatalom</w:t>
      </w:r>
    </w:p>
    <w:p w:rsidR="00904A8C" w:rsidRDefault="00641BD2">
      <w:pPr>
        <w:pStyle w:val="normal"/>
        <w:spacing w:line="331" w:lineRule="auto"/>
        <w:rPr>
          <w:i/>
        </w:rPr>
      </w:pPr>
      <w:r>
        <w:rPr>
          <w:i/>
        </w:rPr>
        <w:t>“Mert minden, ami Istentől született, legyőzi a világot, és az a győzelem, amely legyőzte a világot, a mi hitünk.” (1Jn 5,4)</w:t>
      </w:r>
    </w:p>
    <w:p w:rsidR="00904A8C" w:rsidRDefault="00904A8C">
      <w:pPr>
        <w:pStyle w:val="Alcm"/>
        <w:contextualSpacing w:val="0"/>
      </w:pPr>
      <w:bookmarkStart w:id="0" w:name="_mue3341k6qi1" w:colFirst="0" w:colLast="0"/>
      <w:bookmarkEnd w:id="0"/>
    </w:p>
    <w:p w:rsidR="00904A8C" w:rsidRDefault="00641BD2">
      <w:pPr>
        <w:pStyle w:val="Alcm"/>
        <w:contextualSpacing w:val="0"/>
      </w:pPr>
      <w:bookmarkStart w:id="1" w:name="_sn3tln5u9i7f" w:colFirst="0" w:colLast="0"/>
      <w:bookmarkEnd w:id="1"/>
      <w:r>
        <w:t>Luther korában “a teológiai meggyőződés és a hatalmi politika gyakran összefonódott egymással. Számos politikus teológiai gondolatokat használt fel céljai eléréséhez, számos teológus pedig politikai eszközökkel próbálta terjeszteni vallási nézeteit.”</w:t>
      </w:r>
      <w:r>
        <w:rPr>
          <w:vertAlign w:val="superscript"/>
        </w:rPr>
        <w:footnoteReference w:id="1"/>
      </w:r>
      <w:r>
        <w:t xml:space="preserve"> Az ö</w:t>
      </w:r>
      <w:r>
        <w:t>t sola napjainkban a protestáns keresztyének hitvallási alapja és teológiai módszertanának iránytűje, saját korában azonban a római egyház hatalmával szembenállás hitvallásszerű összefoglalása is volt. Előadásomban rövid bevezetést követően az első háromra</w:t>
      </w:r>
      <w:r>
        <w:t xml:space="preserve"> térek ki.</w:t>
      </w:r>
    </w:p>
    <w:p w:rsidR="00904A8C" w:rsidRDefault="00641BD2">
      <w:pPr>
        <w:pStyle w:val="Cmsor1"/>
        <w:contextualSpacing w:val="0"/>
      </w:pPr>
      <w:bookmarkStart w:id="2" w:name="_ul62nm6ulj5o" w:colFirst="0" w:colLast="0"/>
      <w:bookmarkEnd w:id="2"/>
      <w:r>
        <w:t>Ami Istentől született, legyőzi a világot</w:t>
      </w:r>
    </w:p>
    <w:p w:rsidR="00904A8C" w:rsidRDefault="00641BD2">
      <w:pPr>
        <w:pStyle w:val="normal"/>
      </w:pPr>
      <w:r>
        <w:t>A vallási vezetők a jeruzsálemi gyülekezet munkáját irigységgel figyelték. Amikor Péternek a Jézus Krisztus feltámadásáról szóló bátor tanúskodását hallották, “dühükben a fogukat csikorgatták, és arról t</w:t>
      </w:r>
      <w:r>
        <w:t>anácskoztak, hogy végeznek velük.” Ekkor Gamáliel tanácsa mutatott irányt:  “hagyjátok békén ezeket az embereket, és bocsássátok el őket. Mert ha emberektől való ez a szándék vagy ez a mozgalom, akkor megsemmisül; ha pedig Istentől való, akkor úgy sem tudj</w:t>
      </w:r>
      <w:r>
        <w:t>átok megsemmisíteni őket, és még úgy tűnhettek fel, mint akik Isten ellen harcoltok.” Azok hallgattak rá, előhívták az apostolokat, megverették őket, azután megparancsolták nekik, hogy ne szóljanak Jézus nevében, és azzal elbocsátották őket.”  Gamáliel tan</w:t>
      </w:r>
      <w:r>
        <w:t>ácsát nem hallották az apostolok, mégis a lukácsi történeti mű része, és az újszövetségi, valamint a későbbi korok ekklésziájának identitásformáló narratívája lett. Ami Istentől születik, az legyőzi a világot és megmarad. Ez a mi hitünk.</w:t>
      </w:r>
    </w:p>
    <w:p w:rsidR="00904A8C" w:rsidRDefault="00641BD2">
      <w:pPr>
        <w:pStyle w:val="normal"/>
      </w:pPr>
      <w:r>
        <w:t>A reformáció a pro</w:t>
      </w:r>
      <w:r>
        <w:t>testáns keresztyénség létén túl egy új világrendet is hozott, de azt is megkockáztatom, hogy ennek az új világrendnek a vallásaként érkezett meg. Az egyház reformját sürgető törekvések Luther előtt is megjelentek. Például Rotterdami Erasmus keresztény huma</w:t>
      </w:r>
      <w:r>
        <w:t xml:space="preserve">nizmusa elkötelezetten az egyház belső reformját provokálja, Viterboi Ägidius pedig az 1512-es V. lateráni zsinaton mondott bevezető beszédében így szól: “Ha nem </w:t>
      </w:r>
      <w:r>
        <w:lastRenderedPageBreak/>
        <w:t>gyógyítjuk meg betegségeinket a zsinat segítségével, vége a kereszténységnek, vége a vallásnak</w:t>
      </w:r>
      <w:r>
        <w:t>.” Az egyházban felismerték a reform szükségességét. Azonban a megszerzett, és a még megszerzés előtt álló hatalom csábítása nagyrészt kioltotta a központi reformtörekvéseket.</w:t>
      </w:r>
    </w:p>
    <w:p w:rsidR="00904A8C" w:rsidRDefault="00641BD2">
      <w:pPr>
        <w:pStyle w:val="normal"/>
      </w:pPr>
      <w:r>
        <w:t xml:space="preserve">A sola, az “egyedül”, “kizárólag” kifejezéssel az akkori egyház hatalmával való </w:t>
      </w:r>
      <w:r>
        <w:t>szembeszegülést, annak tagadását fejezték ki a reformátorok. Úgy is mondhatnánk hogy nem a római egyház, hanem kizárólag az Írás, a Hit, a Kegyelem, Krisztus. Nem a római egyházé, hanem egyedül az Istené a dicsőség. Ez a hitrendszer az, amely már nem megre</w:t>
      </w:r>
      <w:r>
        <w:t xml:space="preserve">formálni, hanem legyőzni akarja a római egyházat. </w:t>
      </w:r>
    </w:p>
    <w:p w:rsidR="00904A8C" w:rsidRDefault="00641BD2">
      <w:pPr>
        <w:pStyle w:val="Cmsor1"/>
        <w:contextualSpacing w:val="0"/>
      </w:pPr>
      <w:bookmarkStart w:id="3" w:name="_3ns9zd646r2b" w:colFirst="0" w:colLast="0"/>
      <w:bookmarkEnd w:id="3"/>
      <w:r>
        <w:t>A mi hitünk</w:t>
      </w:r>
    </w:p>
    <w:p w:rsidR="00904A8C" w:rsidRDefault="00641BD2">
      <w:pPr>
        <w:pStyle w:val="normal"/>
      </w:pPr>
      <w:r>
        <w:t>A reformáció sajátos hitrendszerének keresztmetszete az öt sola. Kiformálódásuk, letisztulásuk Luthernek a pápasággal szembeni küzdelméhez köthetők. Mindegyikük az egyház tekintélyét megkérdője</w:t>
      </w:r>
      <w:r>
        <w:t>lező, a hatalommal szemben megfogalmazott állásfoglalás. Ezek közül az első háromra térek ki előadásomban.</w:t>
      </w:r>
    </w:p>
    <w:p w:rsidR="00904A8C" w:rsidRDefault="00641BD2">
      <w:pPr>
        <w:pStyle w:val="Cmsor2"/>
        <w:keepNext w:val="0"/>
        <w:keepLines w:val="0"/>
        <w:contextualSpacing w:val="0"/>
        <w:rPr>
          <w:color w:val="555555"/>
        </w:rPr>
      </w:pPr>
      <w:bookmarkStart w:id="4" w:name="_5yccpu8wz0pb" w:colFirst="0" w:colLast="0"/>
      <w:bookmarkEnd w:id="4"/>
      <w:r>
        <w:t>Sola Scriptura</w:t>
      </w:r>
    </w:p>
    <w:p w:rsidR="00904A8C" w:rsidRDefault="00641BD2">
      <w:pPr>
        <w:pStyle w:val="normal"/>
      </w:pPr>
      <w:r>
        <w:t>Az egyedül a Szentírás elve a Római Egyház kizárólagosan érvényes magyarázatot nyújtó Tanítóhivatalának hatalmával való szembenállás v</w:t>
      </w:r>
      <w:r>
        <w:t xml:space="preserve">olt. Ez a Tanítóhivatal a világ püspökeinek a testületében van jelen, közösségben a pápával.  Az 1519-es Lipcsei disputában egy kiváló hitvitázó előtt Luther így vallott színt arról, hogy kié a legfőbb tekintély: “Sem a pápának, sem az inkvizíciónak nincs </w:t>
      </w:r>
      <w:r>
        <w:t>joga semmiféle új artikulus megalkotására, legfeljebb a már meglévők megítélésére. Ugyanígy egyetlen keresztény sem kényszeríthető semmire, ami nem található meg a Szentírásban.” Johannes Eck erre reagálva nemcsak az egyház tekintélyének kifejtésével, hane</w:t>
      </w:r>
      <w:r>
        <w:t>m annak a Luthert is fenyegető hatalmával érvel, kvázi fenyegeti őt: “Hogy mi legyen egy eretnekkel, most nem akarom taglalni.”</w:t>
      </w:r>
      <w:r>
        <w:rPr>
          <w:vertAlign w:val="superscript"/>
        </w:rPr>
        <w:footnoteReference w:id="2"/>
      </w:r>
      <w:r>
        <w:t xml:space="preserve"> Ezt a vitát Luther sem a teológiai érvelésben, sem a maga védelmében nem tudta megnyerni. Az akkori teológiai tudományos műhely</w:t>
      </w:r>
      <w:r>
        <w:t>ek szerint Eck nyert, Luthert pedig kiközösíti Róma. Ma már kevesen értékelik így ezt a vitát, annál többen vallják, köztük magam is, a Szentírás egyedüli tekintélyét. A sola Scriptura elvvel napjainkban már nem harcolunk a pápai tekintély ellen, nem küzdü</w:t>
      </w:r>
      <w:r>
        <w:t>nk a búcsú, a szentek tisztelete, az ereklyék gyűjtése, a purgatóriumról szóló tanítás ellen. Azonban erre a hitvallásra épülnek a klasszikus protestáns felekezeteken túl az evangelikál és a karizmatikus mozgalmak és egyházak. A kizárólag a bibliai kinyila</w:t>
      </w:r>
      <w:r>
        <w:t>tkoztatáson alapuló életvitel és hitgyakorlat mellett tesznek vallást ezen a módon. Ami Istentől született, az megmarad.</w:t>
      </w:r>
    </w:p>
    <w:p w:rsidR="00904A8C" w:rsidRDefault="00641BD2">
      <w:pPr>
        <w:pStyle w:val="Cmsor2"/>
        <w:keepNext w:val="0"/>
        <w:keepLines w:val="0"/>
        <w:contextualSpacing w:val="0"/>
        <w:rPr>
          <w:color w:val="555555"/>
          <w:sz w:val="48"/>
          <w:szCs w:val="48"/>
        </w:rPr>
      </w:pPr>
      <w:bookmarkStart w:id="5" w:name="_byg6uly0pnw6" w:colFirst="0" w:colLast="0"/>
      <w:bookmarkEnd w:id="5"/>
      <w:r>
        <w:t>Sola fide</w:t>
      </w:r>
    </w:p>
    <w:p w:rsidR="00904A8C" w:rsidRDefault="00641BD2">
      <w:pPr>
        <w:pStyle w:val="normal"/>
      </w:pPr>
      <w:r>
        <w:t>Az egyedül hit által deklarálása az egyik oldalról Luther saját üdvösségével kapcsolatos küzdelmeiben kapott válasza volt. Má</w:t>
      </w:r>
      <w:r>
        <w:t>srészt a katolikus egyház azon tanításával való szembenállás, amely szerint az általa kiszolgált keresztségnek, illetve szentségeknek üdvösségközvetítő szerepe van. A trienti zsinat ennek kapcsán tisztázó dogmatikai állásfoglalást tesz. Eszerint a megigazu</w:t>
      </w:r>
      <w:r>
        <w:t>lás kérdésében egyértelműen elutasították az igazság cselekedeteinek pelagiánus tanait, és az egyedül hit által (sola fide) történő megigazulás tanítását. A hitet a zsinat elsősorban a kinyilatkoztatott tanítással való egyetértésként értelmezte.</w:t>
      </w:r>
      <w:r>
        <w:rPr>
          <w:vertAlign w:val="superscript"/>
        </w:rPr>
        <w:footnoteReference w:id="3"/>
      </w:r>
      <w:r>
        <w:t xml:space="preserve"> Ezzel sze</w:t>
      </w:r>
      <w:r>
        <w:t>mben Kálvin 1547-ben kiállt a cselekedet nélküli megigazulás tanítása mellett. A Rómaiakhoz írt levélen nyugvó tanítás tagadja bármilyen közvetítő cselekmény szükségességét, amellyel szembeszáll a középkori egyháznak az ún. lelkek feletti hatalmával. A ref</w:t>
      </w:r>
      <w:r>
        <w:t xml:space="preserve">ormátorok alaptétele, hogy az egyén hite feltétlenül szükséges, önmagában hatásos és elégséges válasz, amely a megigazulást eredményezi. Luther 1520-ban a német nemzet keresztény nemességéhez a kereszténység helyzetének javításáról szóló vitairatot intéz, </w:t>
      </w:r>
      <w:r>
        <w:t>amelyben kifejti az egyetemes papság elvét. ”Ezért, hogy valamennyiünknek egy keresztségünk, egy hitünk, evangéliumunk van, és egyenlőképpen keresztények vagyunk, hiszen egyedül a keresztség, az evangélium és a hit tesz pappá és kereszténnyé.”</w:t>
      </w:r>
      <w:r>
        <w:rPr>
          <w:vertAlign w:val="superscript"/>
        </w:rPr>
        <w:footnoteReference w:id="4"/>
      </w:r>
      <w:r>
        <w:t xml:space="preserve"> Az effajta </w:t>
      </w:r>
      <w:r>
        <w:t>papság manapság nem számít különlegesnek, én magam is ebben a tanításban nőttem fel. A középkorban azonban mindez a társadalom legfőbb tekintélyű rétegét kérdőjelezte meg. A hatalmi harc véget ért, az általános papsággal kapcsolatos felfogás napjainkban az</w:t>
      </w:r>
      <w:r>
        <w:t xml:space="preserve"> evangelikál és pünkösdi felekezetek missziológiai erejének a forrása, a hívő közösségi felelősségének egyik legfontosabb indítéka. Ami Istentől született, az megmarad.</w:t>
      </w:r>
    </w:p>
    <w:p w:rsidR="00904A8C" w:rsidRDefault="00641BD2">
      <w:pPr>
        <w:pStyle w:val="Cmsor2"/>
        <w:contextualSpacing w:val="0"/>
      </w:pPr>
      <w:bookmarkStart w:id="6" w:name="_4zgf94gihzo5" w:colFirst="0" w:colLast="0"/>
      <w:bookmarkEnd w:id="6"/>
      <w:r>
        <w:t>Sola gratia</w:t>
      </w:r>
    </w:p>
    <w:p w:rsidR="00904A8C" w:rsidRDefault="00641BD2">
      <w:pPr>
        <w:pStyle w:val="normal"/>
        <w:rPr>
          <w:vertAlign w:val="superscript"/>
        </w:rPr>
      </w:pPr>
      <w:r>
        <w:t xml:space="preserve">“Az egyedül kegyelemből elv szerint Isten megváltó kapcsolatot kezdeményez </w:t>
      </w:r>
      <w:r>
        <w:t>az emberrel, azaz a megváltás kegyelemből történik. A kegyelem ajándékát csak elfogadhatjuk; és mivel ezt az ajándékot isteni ígéreten keresztül kapjuk, csak hittel, nem pedig cselekedetekkel fogadhatjuk azt. A megváltás egyedül kegyelemből történik.” Talá</w:t>
      </w:r>
      <w:r>
        <w:t>n ez az elv állt és áll ma is a legkevésbé szemben a katolikus dogmatikával. A reformáció idején azonban talán a második legkonfrontatívabb kiáltvány volt, hiszen a lutheri 95 pont elsősorban a búcsúcédulákra, az üdvösség megvásárolhatóságának kérdésére re</w:t>
      </w:r>
      <w:r>
        <w:t>agált. Vagyis szerezhetünk-e több kegyelmet a tetteinkkel? A Római Katolikus Egyház tanítása szerint igen, míg Luther szerint nem. A kilencvenöt tétel jelentős visszaesést okozott a búcsúcédulák árusításában. Luthert eretnekséggel vádolták meg, amin ő megl</w:t>
      </w:r>
      <w:r>
        <w:t>epődött és jelezte, hogy ez a párbeszéd kezdeményezése, vitairat volt részéről (az első négy pontot kivéve). Sajnos a válaszban mindig két dolog szerepelt: a visszavonásra kötelezés, illetve az eretnekké nyilvánítás fenyegetése. Luther csodálkozott, hiszen</w:t>
      </w:r>
      <w:r>
        <w:t xml:space="preserve"> elvi vitát tervezett. 1518. március végén korrigálni szeretett volna, ezért egy prédikációt tett közzé A búcsúcédulákról és a kegyelemről címmel. A bíróság előtt is hangsúlyozta, hogy vitára serkentő felvetéseknek szánta pontjait. Cajetan bíboros azonban </w:t>
      </w:r>
      <w:r>
        <w:t>az augsburgi birodalmi gyűlésre azzal a mandátummal érkezett, mely szerint Luthernek vissza kell vonnia tanait. A Luther kiátkozásához vezető út a párbeszéd hiányáról is szólt. Ami akkor elmaradt, az ma már valóság a különféle protestáns-katolikus párbeszé</w:t>
      </w:r>
      <w:r>
        <w:t xml:space="preserve">dekben. Ennek kiemelkedő példája a Szembenállástól a közösségig című közös megemlékező kötet létrejötte, tartalma és hangneme. Meggyőződésem, hogy a teológia művelése sohasem történhet hatalmi szóval, hanem csakis a párbeszédben. Ebben jelen kell lennie a </w:t>
      </w:r>
      <w:r>
        <w:t>kölcsönös tiszteletnek, valamint az igazság kimondásához szükséges szabadság klímájának. Ma már “az evangélikusok és a katolikusok közösen értékelik Luther Márton értelmezését és spirituális élményét Isten igazságosságának evangéliumáról, amely Isten kegye</w:t>
      </w:r>
      <w:r>
        <w:t>lmét közvetíti … és azt, hogy »Isten igazságát« ő is hasonlóan értelmezi, ti. annak az igazságnak, mellyel Isten ruház fel bennünket, amikor megigazít minket.”</w:t>
      </w:r>
      <w:r>
        <w:rPr>
          <w:vertAlign w:val="superscript"/>
        </w:rPr>
        <w:footnoteReference w:id="5"/>
      </w:r>
    </w:p>
    <w:p w:rsidR="00904A8C" w:rsidRDefault="00641BD2">
      <w:pPr>
        <w:pStyle w:val="Cmsor1"/>
        <w:contextualSpacing w:val="0"/>
      </w:pPr>
      <w:bookmarkStart w:id="7" w:name="_z7nf1tssv8db" w:colFirst="0" w:colLast="0"/>
      <w:bookmarkEnd w:id="7"/>
      <w:r>
        <w:t>Luther és a hatalom</w:t>
      </w:r>
    </w:p>
    <w:p w:rsidR="00904A8C" w:rsidRDefault="00641BD2">
      <w:pPr>
        <w:pStyle w:val="normal"/>
      </w:pPr>
      <w:r>
        <w:t>De vajon Luther, aki az egyház kizárólagos tekintélyével szembeszáll, hogya</w:t>
      </w:r>
      <w:r>
        <w:t>n tudja saját befolyását, a tételeivel elindított folyamatokat kezelni?  A svábföldi parasztok 1525-ben kiadott, a Szentírásra hivatkozó 12 cikkelyének társadalmi követelései már meghaladták elképzeléseit. Több tiszteletre méltó polgár is visszatetszőnek t</w:t>
      </w:r>
      <w:r>
        <w:t>alálta a Róm 13,1 alapján a Fosztogató és gyilkolászó paraszti hordák ellen című iratát: “Aki csak teheti, üsse, vágja, tiporja el őket és tartsa eszében, hogy nincs mérgezőbb, ártalmasabb és ördögibb nyavalya a lázadónál!” Zwickau polgármestere kijelenti,</w:t>
      </w:r>
      <w:r>
        <w:t xml:space="preserve"> hogy erre az iratra nem tud teológiai iratként tekinteni, hisz ez valósággal “nyíltan és titokban elkövetett parasztgyilkosságokra szólít fel.“ Szarkasztikusan megkérdezi: “Az az ördög, aki ezt műveli, talán a mi jóságos Úristenünk volna?”  Luther a hatal</w:t>
      </w:r>
      <w:r>
        <w:t>om kegyetlenségeinek védelmezője lett, aminek két oka volt: csalódott volt, hogy a reformáció ilyen vad irányokat vett, másrészt 1524-25 borzalmai nélküle nem következtek volna be.</w:t>
      </w:r>
      <w:r>
        <w:rPr>
          <w:vertAlign w:val="superscript"/>
        </w:rPr>
        <w:footnoteReference w:id="6"/>
      </w:r>
      <w:r>
        <w:t xml:space="preserve">  </w:t>
      </w:r>
    </w:p>
    <w:p w:rsidR="00904A8C" w:rsidRDefault="00641BD2">
      <w:pPr>
        <w:pStyle w:val="Cmsor1"/>
        <w:contextualSpacing w:val="0"/>
      </w:pPr>
      <w:bookmarkStart w:id="8" w:name="_8xkbqu24vkgy" w:colFirst="0" w:colLast="0"/>
      <w:bookmarkEnd w:id="8"/>
      <w:r>
        <w:t>Végül</w:t>
      </w:r>
    </w:p>
    <w:p w:rsidR="00904A8C" w:rsidRDefault="00641BD2">
      <w:pPr>
        <w:pStyle w:val="normal"/>
      </w:pPr>
      <w:r>
        <w:t>Számomra tanulságos figyelmeztetés és példaértékű megnyilvánulás a</w:t>
      </w:r>
      <w:r>
        <w:t>z evangélikus-római katolikus Közös megemlékezés a reformációról 2017-ben kötet 229. pontja. Ezzel zárom előadásomat, és annak megismétlésével, hogy ami az Istentől születik, az legyőzi a világot akkor is, ha a világ az egyházban van: “Ez alkalomból az eva</w:t>
      </w:r>
      <w:r>
        <w:t xml:space="preserve">ngélikusok azokra a gonosz és megalázó kijelentésekre is emlékeznek, amelyeket Luther Márton a zsidók ellen tett. Szégyellik és mélyen elítélik azokat. Az evangélikusok mély megbánással gondolnak az anabaptisták evangélikus vezetők általi üldöztetésére és </w:t>
      </w:r>
      <w:r>
        <w:t>arra a tényre, hogy Luther Márton és Philipp Melanchthon teológiai támogatást adott ehhez az üldözéshez. Helytelenítik Luther parasztok elleni erőszakos kirohanásait a parasztháború idején. Luther és a reformáció sötét oldalának ismerete kritikus és önkrit</w:t>
      </w:r>
      <w:r>
        <w:t xml:space="preserve">ikus szemléletet váltott ki az evangélikus teológusok körében Luther és a wittenbergi reformáció vizsgálata során. Noha részben egyetértenek Luther pápaság elleni kritikájával, a mai evangélikusok elutasítják azt, ahogyan Luther a pápát az Antikrisztussal </w:t>
      </w:r>
      <w:r>
        <w:t>azonosította.”</w:t>
      </w:r>
    </w:p>
    <w:p w:rsidR="00904A8C" w:rsidRDefault="00641BD2">
      <w:pPr>
        <w:pStyle w:val="normal"/>
      </w:pPr>
      <w:r>
        <w:t>Korunkban is számos új keresztény mozgalom, közösség indul útjára. Ezek közül sokan független jelzővel illetik magukat. Gyakran kérdőjelek merülhetnek fel hitvallásuk és kegyességük kapcsán is. A 21. század emberének vallásossága is átalakul</w:t>
      </w:r>
      <w:r>
        <w:t>óban van, amit az egyházak leginkább elvilágiasodásnak neveznek. A 20. század hajnalán indult pünkösdi mozgalom is megélte a keresztény nagyegyházak gyanakvását, rosszindulatát és támogatását is. Napjainkban leginkább az utóbbit. És elérkeztünk oda, hogy m</w:t>
      </w:r>
      <w:r>
        <w:t xml:space="preserve">ár elismert egyházként, a MEÖT tagjaként, a kicsiségünkben is érezhetnénk magunkat elég erősnek ahhoz, hogy éljünk a hatalmunkkal más, időnként kétséges tanítású és világképű keresztény közösség irányában. Ezért nekünk is szól az igei figyelmeztetés: “aki </w:t>
      </w:r>
      <w:r>
        <w:t>áll vigyázzon, hogy el ne essen!”</w:t>
      </w:r>
    </w:p>
    <w:p w:rsidR="00904A8C" w:rsidRDefault="00641BD2">
      <w:pPr>
        <w:pStyle w:val="normal"/>
      </w:pPr>
      <w:r>
        <w:t>Köszönöm a figyelmet!</w:t>
      </w:r>
    </w:p>
    <w:sectPr w:rsidR="00904A8C" w:rsidSect="00904A8C">
      <w:footerReference w:type="default" r:id="rId6"/>
      <w:pgSz w:w="11906" w:h="16838"/>
      <w:pgMar w:top="850" w:right="850" w:bottom="850" w:left="850" w:header="0"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BD2" w:rsidRDefault="00641BD2" w:rsidP="00904A8C">
      <w:pPr>
        <w:spacing w:line="240" w:lineRule="auto"/>
      </w:pPr>
      <w:r>
        <w:separator/>
      </w:r>
    </w:p>
  </w:endnote>
  <w:endnote w:type="continuationSeparator" w:id="0">
    <w:p w:rsidR="00641BD2" w:rsidRDefault="00641BD2" w:rsidP="00904A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8C" w:rsidRDefault="00904A8C">
    <w:pPr>
      <w:pStyle w:val="normal"/>
      <w:jc w:val="center"/>
    </w:pPr>
    <w:r>
      <w:fldChar w:fldCharType="begin"/>
    </w:r>
    <w:r w:rsidR="00641BD2">
      <w:instrText>PAGE</w:instrText>
    </w:r>
    <w:r w:rsidR="00E0064B">
      <w:fldChar w:fldCharType="separate"/>
    </w:r>
    <w:r w:rsidR="00641BD2">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BD2" w:rsidRDefault="00641BD2" w:rsidP="00904A8C">
      <w:pPr>
        <w:spacing w:line="240" w:lineRule="auto"/>
      </w:pPr>
      <w:r>
        <w:separator/>
      </w:r>
    </w:p>
  </w:footnote>
  <w:footnote w:type="continuationSeparator" w:id="0">
    <w:p w:rsidR="00641BD2" w:rsidRDefault="00641BD2" w:rsidP="00904A8C">
      <w:pPr>
        <w:spacing w:line="240" w:lineRule="auto"/>
      </w:pPr>
      <w:r>
        <w:continuationSeparator/>
      </w:r>
    </w:p>
  </w:footnote>
  <w:footnote w:id="1">
    <w:p w:rsidR="00904A8C" w:rsidRDefault="00641BD2">
      <w:pPr>
        <w:pStyle w:val="normal"/>
        <w:spacing w:line="240" w:lineRule="auto"/>
        <w:rPr>
          <w:sz w:val="20"/>
          <w:szCs w:val="20"/>
        </w:rPr>
      </w:pPr>
      <w:r>
        <w:rPr>
          <w:vertAlign w:val="superscript"/>
        </w:rPr>
        <w:footnoteRef/>
      </w:r>
      <w:r>
        <w:rPr>
          <w:sz w:val="20"/>
          <w:szCs w:val="20"/>
        </w:rPr>
        <w:t xml:space="preserve"> A szembenállástól a közösségig, Evangélikus–római katolikus közös megemlékezés a reformációról 2017-ben, 87.o. (231. pont) </w:t>
      </w:r>
    </w:p>
  </w:footnote>
  <w:footnote w:id="2">
    <w:p w:rsidR="00904A8C" w:rsidRDefault="00641BD2">
      <w:pPr>
        <w:pStyle w:val="normal"/>
        <w:spacing w:line="240" w:lineRule="auto"/>
        <w:rPr>
          <w:sz w:val="20"/>
          <w:szCs w:val="20"/>
        </w:rPr>
      </w:pPr>
      <w:r>
        <w:rPr>
          <w:vertAlign w:val="superscript"/>
        </w:rPr>
        <w:footnoteRef/>
      </w:r>
      <w:r>
        <w:rPr>
          <w:sz w:val="20"/>
          <w:szCs w:val="20"/>
          <w:vertAlign w:val="superscript"/>
        </w:rPr>
        <w:t xml:space="preserve"> </w:t>
      </w:r>
      <w:r>
        <w:rPr>
          <w:sz w:val="20"/>
          <w:szCs w:val="20"/>
        </w:rPr>
        <w:t xml:space="preserve">Uwe Birnstein, A kereszténység krónikája, Officina Nova, 1998, 232. o. </w:t>
      </w:r>
    </w:p>
  </w:footnote>
  <w:footnote w:id="3">
    <w:p w:rsidR="00904A8C" w:rsidRDefault="00641BD2">
      <w:pPr>
        <w:pStyle w:val="normal"/>
        <w:spacing w:line="240" w:lineRule="auto"/>
        <w:rPr>
          <w:sz w:val="20"/>
          <w:szCs w:val="20"/>
        </w:rPr>
      </w:pPr>
      <w:r>
        <w:rPr>
          <w:vertAlign w:val="superscript"/>
        </w:rPr>
        <w:footnoteRef/>
      </w:r>
      <w:r>
        <w:rPr>
          <w:sz w:val="20"/>
          <w:szCs w:val="20"/>
        </w:rPr>
        <w:t xml:space="preserve"> A szembenállástól a közösségig, Evangélikus–római katolikus közös megemlékezés a reformációról 2017-ben, 2017, 39.o. (82. pont) </w:t>
      </w:r>
    </w:p>
  </w:footnote>
  <w:footnote w:id="4">
    <w:p w:rsidR="00904A8C" w:rsidRDefault="00641BD2">
      <w:pPr>
        <w:pStyle w:val="normal"/>
        <w:spacing w:line="240" w:lineRule="auto"/>
        <w:rPr>
          <w:sz w:val="20"/>
          <w:szCs w:val="20"/>
          <w:vertAlign w:val="superscript"/>
        </w:rPr>
      </w:pPr>
      <w:r>
        <w:rPr>
          <w:vertAlign w:val="superscript"/>
        </w:rPr>
        <w:footnoteRef/>
      </w:r>
      <w:r>
        <w:rPr>
          <w:sz w:val="20"/>
          <w:szCs w:val="20"/>
          <w:vertAlign w:val="superscript"/>
        </w:rPr>
        <w:t xml:space="preserve"> </w:t>
      </w:r>
      <w:r>
        <w:rPr>
          <w:sz w:val="20"/>
          <w:szCs w:val="20"/>
        </w:rPr>
        <w:t>K. Bornkamm, G. Ebeling, MArtin Luther</w:t>
      </w:r>
      <w:r>
        <w:rPr>
          <w:sz w:val="20"/>
          <w:szCs w:val="20"/>
        </w:rPr>
        <w:t>, Ausgewählte Schriften. Insel Verlag, Frankfurt am Main, 1982, 239. o.</w:t>
      </w:r>
    </w:p>
  </w:footnote>
  <w:footnote w:id="5">
    <w:p w:rsidR="00904A8C" w:rsidRDefault="00641BD2">
      <w:pPr>
        <w:pStyle w:val="normal"/>
        <w:spacing w:line="240" w:lineRule="auto"/>
        <w:rPr>
          <w:vertAlign w:val="superscript"/>
        </w:rPr>
      </w:pPr>
      <w:r>
        <w:rPr>
          <w:vertAlign w:val="superscript"/>
        </w:rPr>
        <w:footnoteRef/>
      </w:r>
      <w:r>
        <w:rPr>
          <w:sz w:val="20"/>
          <w:szCs w:val="20"/>
          <w:vertAlign w:val="superscript"/>
        </w:rPr>
        <w:t xml:space="preserve">   </w:t>
      </w:r>
      <w:r>
        <w:rPr>
          <w:sz w:val="20"/>
          <w:szCs w:val="20"/>
        </w:rPr>
        <w:t xml:space="preserve">A szembenállástól a közösségig, Evangélikus–római katolikus közös megemlékezés a reformációról 2017-ben, 2017, 91.o. (244. pont) </w:t>
      </w:r>
      <w:r>
        <w:rPr>
          <w:sz w:val="20"/>
          <w:szCs w:val="20"/>
          <w:vertAlign w:val="superscript"/>
        </w:rPr>
        <w:t>.</w:t>
      </w:r>
    </w:p>
  </w:footnote>
  <w:footnote w:id="6">
    <w:p w:rsidR="00904A8C" w:rsidRDefault="00641BD2">
      <w:pPr>
        <w:pStyle w:val="normal"/>
        <w:spacing w:line="240" w:lineRule="auto"/>
        <w:rPr>
          <w:sz w:val="20"/>
          <w:szCs w:val="20"/>
          <w:vertAlign w:val="superscript"/>
        </w:rPr>
      </w:pPr>
      <w:r>
        <w:rPr>
          <w:vertAlign w:val="superscript"/>
        </w:rPr>
        <w:footnoteRef/>
      </w:r>
      <w:r>
        <w:rPr>
          <w:sz w:val="20"/>
          <w:szCs w:val="20"/>
          <w:vertAlign w:val="superscript"/>
        </w:rPr>
        <w:t xml:space="preserve">  </w:t>
      </w:r>
      <w:r>
        <w:rPr>
          <w:sz w:val="20"/>
          <w:szCs w:val="20"/>
        </w:rPr>
        <w:t xml:space="preserve">v.ö. McCulloch, A reformáció története, Európa könykiadó, Budapest, 2011, 258.o.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savePreviewPicture/>
  <w:footnotePr>
    <w:footnote w:id="-1"/>
    <w:footnote w:id="0"/>
  </w:footnotePr>
  <w:endnotePr>
    <w:endnote w:id="-1"/>
    <w:endnote w:id="0"/>
  </w:endnotePr>
  <w:compat/>
  <w:rsids>
    <w:rsidRoot w:val="00904A8C"/>
    <w:rsid w:val="00641BD2"/>
    <w:rsid w:val="00904A8C"/>
    <w:rsid w:val="00E0064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4"/>
        <w:szCs w:val="24"/>
        <w:lang w:val="hu-HU" w:eastAsia="hu-HU"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al"/>
    <w:next w:val="normal"/>
    <w:rsid w:val="00904A8C"/>
    <w:pPr>
      <w:keepNext/>
      <w:keepLines/>
      <w:spacing w:before="400" w:after="120" w:line="331" w:lineRule="auto"/>
      <w:contextualSpacing/>
      <w:outlineLvl w:val="0"/>
    </w:pPr>
    <w:rPr>
      <w:sz w:val="28"/>
      <w:szCs w:val="28"/>
    </w:rPr>
  </w:style>
  <w:style w:type="paragraph" w:styleId="Cmsor2">
    <w:name w:val="heading 2"/>
    <w:basedOn w:val="normal"/>
    <w:next w:val="normal"/>
    <w:rsid w:val="00904A8C"/>
    <w:pPr>
      <w:keepNext/>
      <w:keepLines/>
      <w:spacing w:before="340" w:after="80" w:line="312" w:lineRule="auto"/>
      <w:contextualSpacing/>
      <w:outlineLvl w:val="1"/>
    </w:pPr>
    <w:rPr>
      <w:rFonts w:ascii="Georgia" w:eastAsia="Georgia" w:hAnsi="Georgia" w:cs="Georgia"/>
      <w:i/>
      <w:sz w:val="28"/>
      <w:szCs w:val="28"/>
      <w:highlight w:val="white"/>
    </w:rPr>
  </w:style>
  <w:style w:type="paragraph" w:styleId="Cmsor3">
    <w:name w:val="heading 3"/>
    <w:basedOn w:val="normal"/>
    <w:next w:val="normal"/>
    <w:rsid w:val="00904A8C"/>
    <w:pPr>
      <w:keepNext/>
      <w:keepLines/>
      <w:spacing w:before="320" w:after="80"/>
      <w:contextualSpacing/>
      <w:outlineLvl w:val="2"/>
    </w:pPr>
    <w:rPr>
      <w:color w:val="434343"/>
      <w:sz w:val="28"/>
      <w:szCs w:val="28"/>
    </w:rPr>
  </w:style>
  <w:style w:type="paragraph" w:styleId="Cmsor4">
    <w:name w:val="heading 4"/>
    <w:basedOn w:val="normal"/>
    <w:next w:val="normal"/>
    <w:rsid w:val="00904A8C"/>
    <w:pPr>
      <w:keepNext/>
      <w:keepLines/>
      <w:spacing w:before="280" w:after="80"/>
      <w:contextualSpacing/>
      <w:outlineLvl w:val="3"/>
    </w:pPr>
    <w:rPr>
      <w:color w:val="666666"/>
    </w:rPr>
  </w:style>
  <w:style w:type="paragraph" w:styleId="Cmsor5">
    <w:name w:val="heading 5"/>
    <w:basedOn w:val="normal"/>
    <w:next w:val="normal"/>
    <w:rsid w:val="00904A8C"/>
    <w:pPr>
      <w:keepNext/>
      <w:keepLines/>
      <w:spacing w:before="240" w:after="80"/>
      <w:contextualSpacing/>
      <w:outlineLvl w:val="4"/>
    </w:pPr>
    <w:rPr>
      <w:color w:val="666666"/>
      <w:sz w:val="22"/>
      <w:szCs w:val="22"/>
    </w:rPr>
  </w:style>
  <w:style w:type="paragraph" w:styleId="Cmsor6">
    <w:name w:val="heading 6"/>
    <w:basedOn w:val="normal"/>
    <w:next w:val="normal"/>
    <w:rsid w:val="00904A8C"/>
    <w:pPr>
      <w:keepNext/>
      <w:keepLines/>
      <w:spacing w:before="240" w:after="80"/>
      <w:contextualSpacing/>
      <w:outlineLvl w:val="5"/>
    </w:pPr>
    <w:rPr>
      <w:i/>
      <w:color w:val="666666"/>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al">
    <w:name w:val="normal"/>
    <w:rsid w:val="00904A8C"/>
  </w:style>
  <w:style w:type="table" w:customStyle="1" w:styleId="TableNormal">
    <w:name w:val="Table Normal"/>
    <w:rsid w:val="00904A8C"/>
    <w:tblPr>
      <w:tblCellMar>
        <w:top w:w="0" w:type="dxa"/>
        <w:left w:w="0" w:type="dxa"/>
        <w:bottom w:w="0" w:type="dxa"/>
        <w:right w:w="0" w:type="dxa"/>
      </w:tblCellMar>
    </w:tblPr>
  </w:style>
  <w:style w:type="paragraph" w:styleId="Cm">
    <w:name w:val="Title"/>
    <w:basedOn w:val="normal"/>
    <w:next w:val="normal"/>
    <w:rsid w:val="00904A8C"/>
    <w:pPr>
      <w:keepNext/>
      <w:keepLines/>
      <w:spacing w:after="60"/>
      <w:contextualSpacing/>
    </w:pPr>
    <w:rPr>
      <w:sz w:val="52"/>
      <w:szCs w:val="52"/>
    </w:rPr>
  </w:style>
  <w:style w:type="paragraph" w:styleId="Alcm">
    <w:name w:val="Subtitle"/>
    <w:basedOn w:val="normal"/>
    <w:next w:val="normal"/>
    <w:rsid w:val="00904A8C"/>
    <w:pPr>
      <w:keepNext/>
      <w:keepLines/>
      <w:spacing w:after="320"/>
      <w:contextualSpacing/>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1483</Words>
  <Characters>10234</Characters>
  <Application>Microsoft Office Word</Application>
  <DocSecurity>0</DocSecurity>
  <Lines>85</Lines>
  <Paragraphs>23</Paragraphs>
  <ScaleCrop>false</ScaleCrop>
  <Company/>
  <LinksUpToDate>false</LinksUpToDate>
  <CharactersWithSpaces>11694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Titkárság</dc:creator>
  <cp:lastModifiedBy>Titkárság</cp:lastModifiedBy>
  <cp:revision>2</cp:revision>
  <dcterms:created xsi:type="dcterms:W3CDTF">2017-05-19T07:09:00Z</dcterms:created>
  <dcterms:modified xsi:type="dcterms:W3CDTF">2017-05-19T07:09:00Z</dcterms:modified>
</cp:coreProperties>
</file>